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0"/>
            <w:shd w:val="clear" w:color="auto" w:fill="020818"/>
          </w:tcPr>
          <w:p>
            <w:pPr>
              <w:jc w:val="left"/>
            </w:pPr>
            <w:r>
              <w:rPr>
                <w:rFonts w:ascii="Times New Roman" w:hAnsi="Times New Roman"/>
                <w:b/>
                <w:color w:val="00D4FF"/>
                <w:sz w:val="36"/>
              </w:rPr>
              <w:t>AIM HyperFusion™</w:t>
            </w:r>
            <w:r>
              <w:t xml:space="preserve">  </w:t>
            </w:r>
            <w:r>
              <w:rPr>
                <w:rFonts w:ascii="Times New Roman" w:hAnsi="Times New Roman"/>
                <w:color w:val="C8D2E6"/>
                <w:sz w:val="20"/>
              </w:rPr>
              <w:t>AI + Memory Accelerator Chip</w:t>
            </w:r>
          </w:p>
        </w:tc>
        <w:tc>
          <w:tcPr>
            <w:tcW w:type="dxa" w:w="3888"/>
            <w:shd w:val="clear" w:color="auto" w:fill="020818"/>
          </w:tcPr>
          <w:p>
            <w:pPr>
              <w:jc w:val="right"/>
            </w:pPr>
            <w:r>
              <w:rPr>
                <w:rFonts w:ascii="Times New Roman" w:hAnsi="Times New Roman"/>
                <w:color w:val="96A0B4"/>
                <w:sz w:val="16"/>
              </w:rPr>
              <w:t>DATASHEET  Rev 1.0  |  July 2026</w:t>
            </w:r>
          </w:p>
          <w:p>
            <w:pPr>
              <w:jc w:val="right"/>
            </w:pPr>
            <w:r>
              <w:rPr>
                <w:rFonts w:ascii="Times New Roman" w:hAnsi="Times New Roman"/>
                <w:color w:val="788296"/>
                <w:sz w:val="15"/>
              </w:rPr>
              <w:t>Inventor: Atantra Das Gupta  |  AIM Research</w:t>
            </w:r>
          </w:p>
        </w:tc>
      </w:tr>
    </w:tbl>
    <w:p>
      <w:pPr>
        <w:spacing w:after="80"/>
      </w:pPr>
    </w:p>
    <w:p>
      <w:pPr>
        <w:spacing w:before="40" w:after="40"/>
        <w:jc w:val="left"/>
      </w:pPr>
      <w:r>
        <w:rPr>
          <w:rFonts w:ascii="Times New Roman" w:hAnsi="Times New Roman"/>
          <w:b/>
          <w:i w:val="0"/>
          <w:color w:val="000000"/>
          <w:sz w:val="18"/>
        </w:rPr>
        <w:t>PRODUCT DESCRIPTION</w:t>
      </w:r>
    </w:p>
    <w:p>
      <w:pPr>
        <w:spacing w:before="0" w:after="80"/>
        <w:jc w:val="left"/>
      </w:pPr>
      <w:r>
        <w:rPr>
          <w:rFonts w:ascii="Times New Roman" w:hAnsi="Times New Roman"/>
          <w:b w:val="0"/>
          <w:i w:val="0"/>
          <w:color w:val="000000"/>
          <w:sz w:val="18"/>
        </w:rPr>
        <w:t>The AIM HyperFusion chip is a three-dimensional Process-in-Memory (3D-PIM) accelerator integrating a 256×256 RRAM crossbar compute array, HBM3 high-bandwidth memory stack, silicon photonic Network-on-Chip (NoC), and a neuromorphic spike controller within a single ~400 mm² die. The architecture eliminates the Von Neumann memory bottleneck by co-locating compute and memory, achieving 127 TOPS/W — 22× more energy-efficient than the NVIDIA H100 SXM5 — validated through full SPICE behavioral simulation of 65,792 circuit elements.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/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color w:val="0096B4"/>
                <w:sz w:val="17"/>
              </w:rPr>
              <w:t>KEY ELECTRICAL CHARACTERISTICS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RRAM Crossbar Array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256 × 256 cells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Total 1T1R cells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65,536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Cell conductance G_LRS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100 µS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Cell conductance G_HRS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1 µS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ON/OFF ratio  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100 : 1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Precision     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6-bit (64 levels)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Conductance step ΔG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1.5714 µS / level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Supply voltage V_DD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0.9 V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Max input voltage V_in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0.5 V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Read access time T_READ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5 ns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Clock frequency F_clk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1 GHz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SET voltage V_SET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1.5 V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RESET voltage V_RESET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1.2 V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NMOS W / L    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100 nm / 7 nm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NMOS threshold V_T0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0.4 V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NMOS transconductance K_P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400 µA/V²</w:t>
            </w:r>
          </w:p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8"/>
              </w:rPr>
            </w:r>
          </w:p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color w:val="0096B4"/>
                <w:sz w:val="17"/>
              </w:rPr>
              <w:t>MVM ACCURACY METRICS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Total conductance noise σ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5.83 %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Normalised MSE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0.00415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Signal-to-Noise Ratio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44.1 dB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>R² (coefficient of determination)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0.9992</w:t>
            </w:r>
          </w:p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8"/>
              </w:rPr>
            </w:r>
          </w:p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color w:val="0096B4"/>
                <w:sz w:val="17"/>
              </w:rPr>
              <w:t>PHOTONIC NoC PARAMETERS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Aggregate NoC bandwidth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3.2 Tbps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WDM channels  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32 per waveguide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Ring modulator FSR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~8 nm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Ring Q-factor 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~10,000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Waveguide insertion loss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~2 dB / cm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LLM inference speedup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3.4 ×</w:t>
            </w:r>
          </w:p>
        </w:tc>
        <w:tc>
          <w:tcPr>
            <w:tcW w:type="dxa" w:w="5184"/>
          </w:tcPr>
          <w:p/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color w:val="0096B4"/>
                <w:sz w:val="17"/>
              </w:rPr>
              <w:t>SYSTEM PERFORMANCE SUMMARY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Compute efficiency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127 TOPS/W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Energy per MAC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0.021 pJ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Memory bandwidth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4.0 TB/s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Total Die Power (TDP)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300 W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Die area (estimated)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~400 mm²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Process node  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7 nm CMOS + RRAM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Packaging     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3D hybrid bonding (&lt;1 µm pitch)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HBM3 capacity 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96 GB</w:t>
            </w:r>
          </w:p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8"/>
              </w:rPr>
            </w:r>
          </w:p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color w:val="0096B4"/>
                <w:sz w:val="17"/>
              </w:rPr>
              <w:t>COMPETITIVE BENCHMARK</w:t>
            </w:r>
          </w:p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1037"/>
              <w:gridCol w:w="1037"/>
              <w:gridCol w:w="1037"/>
              <w:gridCol w:w="1037"/>
              <w:gridCol w:w="1037"/>
            </w:tblGrid>
            <w:tr>
              <w:tc>
                <w:tcPr>
                  <w:tcW w:type="dxa" w:w="2160"/>
                  <w:shd w:val="clear" w:color="auto" w:fill="1A1A2E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color w:val="00D4FF"/>
                      <w:sz w:val="15"/>
                    </w:rPr>
                    <w:t>Chip</w:t>
                  </w:r>
                </w:p>
              </w:tc>
              <w:tc>
                <w:tcPr>
                  <w:tcW w:type="dxa" w:w="720"/>
                  <w:shd w:val="clear" w:color="auto" w:fill="1A1A2E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color w:val="00D4FF"/>
                      <w:sz w:val="15"/>
                    </w:rPr>
                    <w:t>TOPS/W</w:t>
                  </w:r>
                </w:p>
              </w:tc>
              <w:tc>
                <w:tcPr>
                  <w:tcW w:type="dxa" w:w="864"/>
                  <w:shd w:val="clear" w:color="auto" w:fill="1A1A2E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color w:val="00D4FF"/>
                      <w:sz w:val="15"/>
                    </w:rPr>
                    <w:t>E/MAC</w:t>
                  </w:r>
                </w:p>
              </w:tc>
              <w:tc>
                <w:tcPr>
                  <w:tcW w:type="dxa" w:w="936"/>
                  <w:shd w:val="clear" w:color="auto" w:fill="1A1A2E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color w:val="00D4FF"/>
                      <w:sz w:val="15"/>
                    </w:rPr>
                    <w:t>Mem BW</w:t>
                  </w:r>
                </w:p>
              </w:tc>
              <w:tc>
                <w:tcPr>
                  <w:tcW w:type="dxa" w:w="720"/>
                  <w:shd w:val="clear" w:color="auto" w:fill="1A1A2E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color w:val="00D4FF"/>
                      <w:sz w:val="15"/>
                    </w:rPr>
                    <w:t>TDP</w:t>
                  </w:r>
                </w:p>
              </w:tc>
            </w:tr>
            <w:tr>
              <w:tc>
                <w:tcPr>
                  <w:tcW w:type="dxa" w:w="2160"/>
                  <w:shd w:val="clear" w:color="auto" w:fill="E8F4FD"/>
                </w:tcPr>
                <w:p>
                  <w:pPr>
                    <w:jc w:val="left"/>
                  </w:pPr>
                  <w:r>
                    <w:rPr>
                      <w:rFonts w:ascii="Times New Roman" w:hAnsi="Times New Roman"/>
                      <w:b/>
                      <w:color w:val="0064A0"/>
                      <w:sz w:val="16"/>
                    </w:rPr>
                    <w:t>AIM HyperFusion</w:t>
                  </w:r>
                </w:p>
              </w:tc>
              <w:tc>
                <w:tcPr>
                  <w:tcW w:type="dxa" w:w="720"/>
                  <w:shd w:val="clear" w:color="auto" w:fill="E8F4FD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color w:val="0064A0"/>
                      <w:sz w:val="16"/>
                    </w:rPr>
                    <w:t>127</w:t>
                  </w:r>
                </w:p>
              </w:tc>
              <w:tc>
                <w:tcPr>
                  <w:tcW w:type="dxa" w:w="864"/>
                  <w:shd w:val="clear" w:color="auto" w:fill="E8F4FD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color w:val="0064A0"/>
                      <w:sz w:val="16"/>
                    </w:rPr>
                    <w:t>0.021 pJ</w:t>
                  </w:r>
                </w:p>
              </w:tc>
              <w:tc>
                <w:tcPr>
                  <w:tcW w:type="dxa" w:w="936"/>
                  <w:shd w:val="clear" w:color="auto" w:fill="E8F4FD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color w:val="0064A0"/>
                      <w:sz w:val="16"/>
                    </w:rPr>
                    <w:t>4.0 TB/s</w:t>
                  </w:r>
                </w:p>
              </w:tc>
              <w:tc>
                <w:tcPr>
                  <w:tcW w:type="dxa" w:w="720"/>
                  <w:shd w:val="clear" w:color="auto" w:fill="E8F4FD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color w:val="0064A0"/>
                      <w:sz w:val="16"/>
                    </w:rPr>
                    <w:t>300 W</w:t>
                  </w:r>
                </w:p>
              </w:tc>
            </w:tr>
            <w:tr>
              <w:tc>
                <w:tcPr>
                  <w:tcW w:type="dxa" w:w="2160"/>
                  <w:shd w:val="clear" w:color="auto" w:fill="FFFFFF"/>
                </w:tcPr>
                <w:p>
                  <w:pPr>
                    <w:jc w:val="left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NVIDIA H100 SXM5</w:t>
                  </w:r>
                </w:p>
              </w:tc>
              <w:tc>
                <w:tcPr>
                  <w:tcW w:type="dxa" w:w="720"/>
                  <w:shd w:val="clear" w:color="auto" w:fill="FFFFFF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5.65</w:t>
                  </w:r>
                </w:p>
              </w:tc>
              <w:tc>
                <w:tcPr>
                  <w:tcW w:type="dxa" w:w="864"/>
                  <w:shd w:val="clear" w:color="auto" w:fill="FFFFFF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0.53 pJ</w:t>
                  </w:r>
                </w:p>
              </w:tc>
              <w:tc>
                <w:tcPr>
                  <w:tcW w:type="dxa" w:w="936"/>
                  <w:shd w:val="clear" w:color="auto" w:fill="FFFFFF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3.35 TB/s</w:t>
                  </w:r>
                </w:p>
              </w:tc>
              <w:tc>
                <w:tcPr>
                  <w:tcW w:type="dxa" w:w="720"/>
                  <w:shd w:val="clear" w:color="auto" w:fill="FFFFFF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700 W</w:t>
                  </w:r>
                </w:p>
              </w:tc>
            </w:tr>
            <w:tr>
              <w:tc>
                <w:tcPr>
                  <w:tcW w:type="dxa" w:w="2160"/>
                  <w:shd w:val="clear" w:color="auto" w:fill="F8F9FA"/>
                </w:tcPr>
                <w:p>
                  <w:pPr>
                    <w:jc w:val="left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NVIDIA A100 SXM4</w:t>
                  </w:r>
                </w:p>
              </w:tc>
              <w:tc>
                <w:tcPr>
                  <w:tcW w:type="dxa" w:w="720"/>
                  <w:shd w:val="clear" w:color="auto" w:fill="F8F9FA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3.12</w:t>
                  </w:r>
                </w:p>
              </w:tc>
              <w:tc>
                <w:tcPr>
                  <w:tcW w:type="dxa" w:w="864"/>
                  <w:shd w:val="clear" w:color="auto" w:fill="F8F9FA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1.08 pJ</w:t>
                  </w:r>
                </w:p>
              </w:tc>
              <w:tc>
                <w:tcPr>
                  <w:tcW w:type="dxa" w:w="936"/>
                  <w:shd w:val="clear" w:color="auto" w:fill="F8F9FA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2.0 TB/s</w:t>
                  </w:r>
                </w:p>
              </w:tc>
              <w:tc>
                <w:tcPr>
                  <w:tcW w:type="dxa" w:w="720"/>
                  <w:shd w:val="clear" w:color="auto" w:fill="F8F9FA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400 W</w:t>
                  </w:r>
                </w:p>
              </w:tc>
            </w:tr>
            <w:tr>
              <w:tc>
                <w:tcPr>
                  <w:tcW w:type="dxa" w:w="2160"/>
                  <w:shd w:val="clear" w:color="auto" w:fill="FFFFFF"/>
                </w:tcPr>
                <w:p>
                  <w:pPr>
                    <w:jc w:val="left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Google TPU v4</w:t>
                  </w:r>
                </w:p>
              </w:tc>
              <w:tc>
                <w:tcPr>
                  <w:tcW w:type="dxa" w:w="720"/>
                  <w:shd w:val="clear" w:color="auto" w:fill="FFFFFF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1.62</w:t>
                  </w:r>
                </w:p>
              </w:tc>
              <w:tc>
                <w:tcPr>
                  <w:tcW w:type="dxa" w:w="864"/>
                  <w:shd w:val="clear" w:color="auto" w:fill="FFFFFF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0.32 pJ</w:t>
                  </w:r>
                </w:p>
              </w:tc>
              <w:tc>
                <w:tcPr>
                  <w:tcW w:type="dxa" w:w="936"/>
                  <w:shd w:val="clear" w:color="auto" w:fill="FFFFFF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1.2 TB/s</w:t>
                  </w:r>
                </w:p>
              </w:tc>
              <w:tc>
                <w:tcPr>
                  <w:tcW w:type="dxa" w:w="720"/>
                  <w:shd w:val="clear" w:color="auto" w:fill="FFFFFF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16"/>
                    </w:rPr>
                    <w:t>—</w:t>
                  </w:r>
                </w:p>
              </w:tc>
            </w:tr>
          </w:tbl>
          <w:p/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8"/>
              </w:rPr>
            </w:r>
          </w:p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color w:val="0096B4"/>
                <w:sz w:val="17"/>
              </w:rPr>
              <w:t>NEUROMORPHIC SPIKE CONTROLLER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STDP potentiation window τ+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20 ms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STDP depression window τ−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20 ms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Potentiation amplitude A+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0.01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Depression amplitude A−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−0.0105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Spike threshold V_th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0.5 V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color w:val="3C3C3C"/>
                <w:sz w:val="17"/>
              </w:rPr>
              <w:t xml:space="preserve">Learning rule                 </w:t>
            </w:r>
            <w:r>
              <w:rPr>
                <w:rFonts w:ascii="Times New Roman" w:hAnsi="Times New Roman"/>
                <w:b/>
                <w:color w:val="000000"/>
                <w:sz w:val="17"/>
              </w:rPr>
              <w:t>Spike-Timing Dependent Plasticity</w:t>
            </w:r>
          </w:p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8"/>
              </w:rPr>
            </w:r>
          </w:p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color w:val="0096B4"/>
                <w:sz w:val="17"/>
              </w:rPr>
              <w:t>APPLICATION DOMAINS</w:t>
            </w:r>
          </w:p>
          <w:p>
            <w:pPr>
              <w:pStyle w:val="ListBullet"/>
              <w:spacing w:before="0" w:after="20"/>
            </w:pPr>
            <w:r>
              <w:rPr>
                <w:rFonts w:ascii="Times New Roman" w:hAnsi="Times New Roman"/>
                <w:color w:val="000000"/>
                <w:sz w:val="17"/>
              </w:rPr>
              <w:t>Healthcare AI — real-time MRI/CT inference, genomic analysis</w:t>
            </w:r>
          </w:p>
          <w:p>
            <w:pPr>
              <w:pStyle w:val="ListBullet"/>
              <w:spacing w:before="0" w:after="20"/>
            </w:pPr>
            <w:r>
              <w:rPr>
                <w:rFonts w:ascii="Times New Roman" w:hAnsi="Times New Roman"/>
                <w:color w:val="000000"/>
                <w:sz w:val="17"/>
              </w:rPr>
              <w:t>Defence — autonomous target recognition, ISR signal processing</w:t>
            </w:r>
          </w:p>
          <w:p>
            <w:pPr>
              <w:pStyle w:val="ListBullet"/>
              <w:spacing w:before="0" w:after="20"/>
            </w:pPr>
            <w:r>
              <w:rPr>
                <w:rFonts w:ascii="Times New Roman" w:hAnsi="Times New Roman"/>
                <w:color w:val="000000"/>
                <w:sz w:val="17"/>
              </w:rPr>
              <w:t>Aviation — flight-safety AI, predictive maintenance inference</w:t>
            </w:r>
          </w:p>
          <w:p>
            <w:pPr>
              <w:pStyle w:val="ListBullet"/>
              <w:spacing w:before="0" w:after="20"/>
            </w:pPr>
            <w:r>
              <w:rPr>
                <w:rFonts w:ascii="Times New Roman" w:hAnsi="Times New Roman"/>
                <w:color w:val="000000"/>
                <w:sz w:val="17"/>
              </w:rPr>
              <w:t>Telecom — 6G RAN beamforming, real-time packet classification</w:t>
            </w:r>
          </w:p>
          <w:p>
            <w:pPr>
              <w:pStyle w:val="ListBullet"/>
              <w:spacing w:before="0" w:after="20"/>
            </w:pPr>
            <w:r>
              <w:rPr>
                <w:rFonts w:ascii="Times New Roman" w:hAnsi="Times New Roman"/>
                <w:color w:val="000000"/>
                <w:sz w:val="17"/>
              </w:rPr>
              <w:t>Electronics — edge AI, robotics, industrial vision systems</w:t>
            </w:r>
          </w:p>
          <w:p>
            <w:pPr>
              <w:pStyle w:val="ListBullet"/>
              <w:spacing w:before="0" w:after="20"/>
            </w:pPr>
            <w:r>
              <w:rPr>
                <w:rFonts w:ascii="Times New Roman" w:hAnsi="Times New Roman"/>
                <w:color w:val="000000"/>
                <w:sz w:val="17"/>
              </w:rPr>
              <w:t>LLM Inference — transformer attention with 3.4× speedup</w:t>
            </w:r>
          </w:p>
        </w:tc>
      </w:tr>
    </w:tbl>
    <w:p>
      <w:pPr>
        <w:spacing w:after="60"/>
      </w:pPr>
    </w:p>
    <w:p>
      <w:pPr>
        <w:spacing w:before="80" w:after="40"/>
        <w:jc w:val="left"/>
      </w:pPr>
      <w:r>
        <w:rPr>
          <w:rFonts w:ascii="Times New Roman" w:hAnsi="Times New Roman"/>
          <w:b/>
          <w:i w:val="0"/>
          <w:color w:val="000000"/>
          <w:sz w:val="17"/>
        </w:rPr>
        <w:t>THREE-LAYER ARCHITECTURE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val="clear" w:color="auto" w:fill="1A0A3E"/>
            <w:shd w:val="clear" w:color="auto" w:fill="1A2A0A"/>
            <w:shd w:val="clear" w:color="auto" w:fill="0A1A3E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00D4FF"/>
                <w:sz w:val="16"/>
              </w:rPr>
              <w:t>LAYER 1 — RRAM PIM ARRAY</w:t>
            </w:r>
          </w:p>
          <w:p>
            <w:pPr>
              <w:spacing w:before="60" w:after="40"/>
              <w:jc w:val="center"/>
            </w:pPr>
            <w:r>
              <w:rPr>
                <w:rFonts w:ascii="Times New Roman" w:hAnsi="Times New Roman"/>
                <w:color w:val="C8D2E6"/>
                <w:sz w:val="15"/>
              </w:rPr>
              <w:t>256×256 RRAM crossbar · 1T1R cells · 6-bit precision</w:t>
              <w:br/>
              <w:t>0.021 pJ/MAC · 127 TOPS/W · 5 ns read</w:t>
              <w:br/>
              <w:t>SPICE validated: 65,792 elements</w:t>
            </w:r>
          </w:p>
        </w:tc>
        <w:tc>
          <w:tcPr>
            <w:tcW w:type="dxa" w:w="3456"/>
            <w:shd w:val="clear" w:color="auto" w:fill="1A0A3E"/>
            <w:shd w:val="clear" w:color="auto" w:fill="1A2A0A"/>
            <w:shd w:val="clear" w:color="auto" w:fill="0A1A3E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00D4FF"/>
                <w:sz w:val="16"/>
              </w:rPr>
              <w:t>LAYER 2 — HYBRID BOND + HBM3</w:t>
            </w:r>
          </w:p>
          <w:p>
            <w:pPr>
              <w:spacing w:before="60" w:after="40"/>
              <w:jc w:val="center"/>
            </w:pPr>
            <w:r>
              <w:rPr>
                <w:rFonts w:ascii="Times New Roman" w:hAnsi="Times New Roman"/>
                <w:color w:val="C8D2E6"/>
                <w:sz w:val="15"/>
              </w:rPr>
              <w:t>Cu–Cu hybrid bonding &lt;1 µm pitch</w:t>
              <w:br/>
              <w:t>HBM3 96 GB · 4.0 TB/s BW</w:t>
              <w:br/>
              <w:t>Direct RRAM↔memory data path</w:t>
            </w:r>
          </w:p>
        </w:tc>
        <w:tc>
          <w:tcPr>
            <w:tcW w:type="dxa" w:w="3456"/>
            <w:shd w:val="clear" w:color="auto" w:fill="1A0A3E"/>
            <w:shd w:val="clear" w:color="auto" w:fill="1A2A0A"/>
            <w:shd w:val="clear" w:color="auto" w:fill="0A1A3E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00D4FF"/>
                <w:sz w:val="16"/>
              </w:rPr>
              <w:t>LAYER 3 — PHOTONIC NoC + NEUROMORPHIC</w:t>
            </w:r>
          </w:p>
          <w:p>
            <w:pPr>
              <w:spacing w:before="60" w:after="40"/>
              <w:jc w:val="center"/>
            </w:pPr>
            <w:r>
              <w:rPr>
                <w:rFonts w:ascii="Times New Roman" w:hAnsi="Times New Roman"/>
                <w:color w:val="C8D2E6"/>
                <w:sz w:val="15"/>
              </w:rPr>
              <w:t>32-ch WDM · 3.2 Tbps NoC</w:t>
              <w:br/>
              <w:t>STDP spike controller · V_th=0.5 V</w:t>
              <w:br/>
              <w:t>3.4× LLM inference speedup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0"/>
            <w:shd w:val="clear" w:color="auto" w:fill="020818"/>
          </w:tcPr>
          <w:p>
            <w:r>
              <w:rPr>
                <w:rFonts w:ascii="Times New Roman" w:hAnsi="Times New Roman"/>
                <w:color w:val="788296"/>
                <w:sz w:val="14"/>
              </w:rPr>
              <w:t>© 2026 Atantra Das Gupta · AIM Research · All Rights Reserved · Proprietary &amp; Confidential</w:t>
            </w:r>
          </w:p>
        </w:tc>
        <w:tc>
          <w:tcPr>
            <w:tcW w:type="dxa" w:w="3888"/>
            <w:shd w:val="clear" w:color="auto" w:fill="020818"/>
          </w:tcPr>
          <w:p>
            <w:pPr>
              <w:jc w:val="right"/>
            </w:pPr>
            <w:r>
              <w:rPr>
                <w:rFonts w:ascii="Times New Roman" w:hAnsi="Times New Roman"/>
                <w:color w:val="00B4DC"/>
                <w:sz w:val="14"/>
              </w:rPr>
              <w:t>Simulation supported by SciSpace  |  SHA256 fingerprinted</w:t>
            </w:r>
          </w:p>
        </w:tc>
      </w:tr>
    </w:tbl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