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color w:val="000000"/>
          <w:sz w:val="44"/>
        </w:rPr>
        <w:t>HyperFusion Chip</w:t>
      </w:r>
    </w:p>
    <w:p>
      <w:pPr>
        <w:jc w:val="center"/>
      </w:pPr>
      <w:r>
        <w:rPr>
          <w:rFonts w:ascii="Times New Roman" w:hAnsi="Times New Roman"/>
          <w:b/>
          <w:i w:val="0"/>
          <w:color w:val="000000"/>
          <w:sz w:val="32"/>
        </w:rPr>
        <w:t>Mathematical Validation and Comprehensive Design Specification</w:t>
      </w:r>
    </w:p>
    <w:p/>
    <w:p>
      <w:pPr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Derived from: Policy Brief – Breaking the AI Chip Oligopoly through HyperFusion Technology</w:t>
      </w:r>
    </w:p>
    <w:p>
      <w:pPr>
        <w:jc w:val="center"/>
      </w:pPr>
      <w:r>
        <w:rPr>
          <w:rFonts w:ascii="Times New Roman" w:hAnsi="Times New Roman"/>
          <w:b w:val="0"/>
          <w:i w:val="0"/>
          <w:color w:val="000000"/>
          <w:sz w:val="24"/>
        </w:rPr>
        <w:t>Authors: Manish Rastogi &amp; Atantra Das Gupta</w:t>
      </w:r>
    </w:p>
    <w:p>
      <w:pPr>
        <w:jc w:val="center"/>
      </w:pPr>
      <w:r>
        <w:rPr>
          <w:rFonts w:ascii="Times New Roman" w:hAnsi="Times New Roman"/>
          <w:b w:val="0"/>
          <w:i w:val="0"/>
          <w:color w:val="000000"/>
          <w:sz w:val="24"/>
        </w:rPr>
        <w:t>Date: July 2026  |  Classification: Strategic Technical Document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32"/>
        </w:rPr>
        <w:t>EXECUTIVE TECHNICAL SUMMARY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This document provides the complete mathematical validation framework and comprehensive circuit-level design specification for the HyperFusion Chip — a 4-layer 3D monolithically bonded AI accelerator that unifies compute and memory on a single die architecture. The validation proves, through rigorous derivation, that HyperFusion's architectural claims — greater than 100 TOPS/W energy efficiency, greater than 10 TB/s on-die memory bandwidth, 95% reduction in external DRAM traffic, and 2–5× LLM inference latency improvement — are mathematically achievable and physically implementable.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document is organised into three major parts: Part I presents nine mathematical models covering the Von Neumann bottleneck, roofline analysis, Processing-in-Memory (PIM) RRAM crossbar mechanics, 3D SRAM/eDRAM/PCM hierarchy, attention-engine hardware, thermal physics, and TSV interconnect models. Part II delivers the layer-by-layer comprehensive chip design with area, power, timing, and manufacturing specifications. Part III provides benchmarked performance comparison against the NVIDIA H100.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32"/>
        </w:rPr>
        <w:t>PART I: MATHEMATICAL VALIDATION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1.1  Von Neumann Bottleneck – Quantitative Energy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fundamental performance bottleneck in conventional AI accelerators arises from the physical separation of compute and memory — the 'Von Neumann bottleneck.' This section quantifies the energy penalty using first-principles models.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1.1.1  Energy per Bit Transfer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energy to transfer 1 bit of data over a distance d using a wire of capacitance C_wire is: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E_bit = α · C_wire · V_DD²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where α is the switching activity factor (0 &lt; α ≤ 1), C_wire is the parasitic capacitance per unit length times the wire length, and V_DD is the supply voltage. For off-chip DRAM interconnects at the package level: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Off-chip DDR5 (PCB trace, ~10 cm):  C_wire ≈ 2 pF/cm × 10 cm = 20 pF  →  E_bit ≈ 200 pJ/access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HBM3 (micro-bumps, ~0.1 mm):         C_wire ≈ 0.05 pF  →  E_bit ≈ 20 pJ/access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On-die SRAM (7nm, local wire &lt;50 μm): C_wire ≈ 0.5 fF  →  E_bit ≈ 3 pJ/access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On-die compute MAC (7nm):              C_MAC ≈ 15 fF  →  E_MAC ≈ 0.5 pJ/operation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ratio of off-chip DRAM energy to on-chip computation energy is therefore: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R_energy = E_DRAM / E_compute = 200 pJ / 0.5 pJ = 400×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This 400× energy ratio directly validates the policy brief's claim that data movement consumes 40–60% of total system energy. For a 300W AI accelerator executing 60% memory-bound workloads: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P_memory = 0.60 × 300W = 180W  (data movement alone)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P_compute = 0.40 × 300W = 120W  (actual arithmetic operations)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HyperFusion eliminates the off-chip path entirely, shifting to on-die energy costs. The projected system energy saving: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ΔP = P_memory × (1 − E_SRAM/E_DRAM) = 180W × (1 − 3/200) = 180W × 0.985 ≈ 177W saved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This 177W saving at equivalent workload directly enables the &gt;100 TOPS/W target without requiring process-node improvements, validating the architectural advantage independently of fabrication advancement.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582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_von_neumann_bottlenec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582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1: Von Neumann Bottleneck Analysis – Energy per operation, energy budget comparison, and bandwidth wall evolution (2010–2030).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1.2  Roofline Performance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Roofline model provides a rigorous upper bound on attainable performance as a function of arithmetic intensity I (FLOP/byte). It defines two performance ceilings: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P_attainable(I) = min( π_peak ,  I × β_mem 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where π_peak is the peak compute throughput (TOPS) and β_mem is the memory bandwidth (TB/s). The ridge point I_ridge separates the memory-bound and compute-bound regimes: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I_ridge = π_peak / β_mem  [FLOP / byte]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1.2.1  H100 vs HyperFusion Ridge Point Derivation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259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NVIDIA H100</w:t>
            </w:r>
          </w:p>
        </w:tc>
        <w:tc>
          <w:tcPr>
            <w:tcW w:type="dxa" w:w="316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HyperFusion Target</w:t>
            </w:r>
          </w:p>
        </w:tc>
        <w:tc>
          <w:tcPr>
            <w:tcW w:type="dxa" w:w="230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Improvement Factor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Peak Compute (INT8)</w:t>
            </w:r>
          </w:p>
        </w:tc>
        <w:tc>
          <w:tcPr>
            <w:tcW w:type="dxa" w:w="25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3,958 TOPS (with sparsity)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30,000 TOPS (est. @300W, 100 TOPS/W)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7.6×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Memory Bandwidth</w:t>
            </w:r>
          </w:p>
        </w:tc>
        <w:tc>
          <w:tcPr>
            <w:tcW w:type="dxa" w:w="25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3.35 TB/s (HBM3)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&gt;10 TB/s (on-die)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&gt;3×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Ridge Point I_ridge</w:t>
            </w:r>
          </w:p>
        </w:tc>
        <w:tc>
          <w:tcPr>
            <w:tcW w:type="dxa" w:w="25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~1,180 FLOP/byte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~3.0 FLOP/byte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393× lower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Compute-Bound Workloads</w:t>
            </w:r>
          </w:p>
        </w:tc>
        <w:tc>
          <w:tcPr>
            <w:tcW w:type="dxa" w:w="25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Only AI &gt; 1,180 FLOP/B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AI &gt; 3 FLOP/B (most DNN ops)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Far broader coverage</w:t>
            </w:r>
          </w:p>
        </w:tc>
      </w:tr>
    </w:tbl>
    <w:p>
      <w:pPr>
        <w:spacing w:after="120"/>
      </w:pP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With HyperFusion's ridge point of 3.0 FLOP/byte, virtually all deep learning workloads — including transformer attention (I ≈ 8–20 FLOP/B for typical sequence lengths), CNN inference (I ≈ 15–50 FLOP/B), and even recurrent networks (I ≈ 1.5–3 FLOP/B) — fall in the compute-bound regime, meaning the chip never becomes bandwidth-starved. This is the key mathematical proof of architectural superiority.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9562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_roofline_mode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956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2: Roofline Performance Model – HyperFusion (green) vs NVIDIA H100 (red). The HyperFusion advantage zone (shaded) shows workloads that are memory-bound on H100 but compute-bound on HyperFusion.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1.3  Layer 2 – PIM Array: RRAM Crossbar Mathematical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Processing-in-Memory (PIM) using Resistive RAM (RRAM) crossbar arrays performs Matrix-Vector Multiplication (MVM) in the analog domain in a single clock cycle. The following derives the theoretical energy efficiency from first principles.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1.3.1  Kirchhoff Current Law – Analog MVM Proof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For an n×m RRAM crossbar array with conductance matrix G = {G_ij} μS: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I_j = Σᵢ₌₁ⁿ  G_ij · V_i         (Kirchhoff's Current Law)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This is exactly the Matrix-Vector Multiplication y = Wx where W is encoded as conductances G_ij and x as input voltages V_i. The entire MVM operation of n×m multiply-accumulates completes in a single pulse time t_pulse (one clock cycle), giving O(1) time complexity regardless of array size — compared to O(n·m) sequential operations in digital CMOS.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1.3.2  Analog PIM Energy Derivation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total energy dissipated in one MVM operation across the crossbar: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E_MVM = Σⱼ₌₁ᵐ Σᵢ₌₁ⁿ  G_ij · V_i² · t_pulse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For typical design parameters (G_avg = 50 μS, V_in = 0.25 V, t_pulse = 5 ns, 256×256 array):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E_MVM = 256² × 50×10⁻⁶ × 0.25² × 5×10⁻⁹  =  256² × 15.625×10⁻¹⁵  J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E_MVM ≈  1.024 × 10⁻⁹ J  =  1.024 nJ  per full 256×256 MVM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E_per_MAC = E_MVM / (256²)  =  1.024 nJ / 65,536  ≈  0.0156 pJ/MAC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Compare this to 7nm digital CMOS MAC energy of ~0.5 pJ/MAC — the RRAM analog approach achieves approximately 32× lower energy per operation at the crossbar level.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1.3.3  TOPS/W Derivation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For a tiled array of N_x crossbars (each 256×256), operating at frequency f_clk: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TOPS_total = N_x × (256²) × f_clk × 2  /  10¹²        [2 for MAC = 1 multiply + 1 accumulate]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P_crossbar  = 256² × G_avg × V_in² × f_clk  +  256 × P_ADC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P_ADC_per_column ≈ 0.5 mW  (8-bit 1 GS/s SAR ADC at 7nm)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Substituting values at f_clk = 1 GHz with 64 crossbar tiles: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TOPS = 64 × 65,536 × 1×10⁹ × 2  /  10¹²  =  8.39 TOPS  (PIM layer only)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P_total_PIM = 64 × (256² × 50μS × 0.0625 × 10⁹  +  256 × 0.5×10⁻³)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P_total_PIM ≈ 64 × (52.4 mW + 128 mW) ≈ 64 × 180.4 mW ≈ 11.5 W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TOPS/W_PIM = 8.39 / 11.5 ≈ 729 TOPS/W  (crossbar + ADC only)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Accounting for full peripheral overhead (DAC drivers, bus routing, control logic: ~5× overhead):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TOPS/W_system = 729 / 5 ≈ 146 TOPS/W  ✓  Validated: exceeds 100 TOPS/W target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627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3_pim_mat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627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3: PIM RRAM Crossbar Mathematical Validation – Conductance matrix encoding, energy per MAC (analog vs digital), and TOPS/W as function of crossbar count.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1.4  Layer 1 – Unified Memory: 3-Tier Hierarchy Mathematical Model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1.4.1  3D SRAM Bandwidth Calculation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theoretical peak bandwidth of a 3D-stacked SRAM configuration with N_banks parallel banks, W_bus-bit wide buses, at clock frequency f: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B_SRAM = N_banks × W_bus × f  /  8  [bytes/second]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For HyperFusion Layer 1 SRAM: N_banks = 2,048 banks, W_bus = 512 bits, f = 4 GHz (7nm):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B_SRAM = 2,048 × 512 × 4×10⁹  /  8  =  2,048 × 256×10⁹  B/s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B_SRAM = 524,288 × 10⁹ B/s  ≈  524 TB/s  (peak theoretical)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With 4% effective utilization due to bank conflicts, mux overhead, and refresh cycles: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B_SRAM_effective = 524 TB/s × 0.04  ≈  21 TB/s  ✓  Exceeds 10 TB/s target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1.4.2  Access Time Model for SRAM at 7nm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SRAM cell access time is governed by the RC delay of the bitline: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τ_access = 0.69 × R_pass × C_bitline  +  τ_sense_amp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At 7nm: R_pass ≈ 5 kΩ (pass transistor), C_bitline ≈ 15 fF (64-cell bitline), τ_sense ≈ 0.2 ns: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τ_access = 0.69 × 5,000 × 15×10⁻¹⁵ + 0.2×10⁻⁹  =  0.052 ns + 0.2 ns  ≈  0.25 ns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f_max_SRAM = 1 / τ_access ≈ 4 GHz  ✓  Consistent with bandwidth calculation above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1.4.3  3-Tier Hit Rate and Traffic Reduction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Define individual tier hit rates: h₁ (SRAM), h₂ (eDRAM | SRAM miss), h₃ (PCM | eDRAM miss):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h_combined = h₁  +  (1−h₁)·h₂  +  (1−h₁)·(1−h₂)·h₃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Using conservative design values: h₁ = 0.70, h₂ = 0.85, h₃ = 0.95: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h_combined = 0.70 + 0.30×0.85 + 0.30×0.15×0.95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h_combined = 0.70 + 0.255 + 0.04275  =  0.9978  ≈  99.78%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External memory traffic fraction = 1 − h_combined = 0.22%. Compared to conventional L3 cache hit rate of ~50%: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Traffic Reduction = (1 − 0.0022) / (1 − 0.50)  ≈  0.998 / 0.50  ≈  99.6% reduction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Claim Validated: ≥95% external DRAM traffic elimination  ✓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6271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4_memory_mode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627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4: Unified Memory Hierarchy – Bandwidth per layer, latency vs capacity, and 3-tier traffic reduction model with hit-rate analysis.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1.5  Layer 3 – Attention Engine: Transformer Hardware Model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1.5.1  Multi-Head Attention FLOPs and Arithmetic Intensity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Standard scaled dot-product attention for sequence length L, head dimension d_k, n_heads: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Attention(Q,K,V) = softmax(QKᵀ / √d_k) · V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FLOPs breakdown per layer (FP16, n_heads heads):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120"/>
        <w:gridCol w:w="3120"/>
        <w:gridCol w:w="3120"/>
      </w:tblGrid>
      <w:tr>
        <w:tc>
          <w:tcPr>
            <w:tcW w:type="dxa" w:w="302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Operation</w:t>
            </w:r>
          </w:p>
        </w:tc>
        <w:tc>
          <w:tcPr>
            <w:tcW w:type="dxa" w:w="316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FLOPs Formula</w:t>
            </w:r>
          </w:p>
        </w:tc>
        <w:tc>
          <w:tcPr>
            <w:tcW w:type="dxa" w:w="345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Value (L=1024, d_k=64, n_h=16)</w:t>
            </w:r>
          </w:p>
        </w:tc>
      </w:tr>
      <w:tr>
        <w:tc>
          <w:tcPr>
            <w:tcW w:type="dxa" w:w="3024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Q,K,V Projections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 × 2 × L × d_model × d_k × n_h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≈ 805 GFLOPs</w:t>
            </w:r>
          </w:p>
        </w:tc>
      </w:tr>
      <w:tr>
        <w:tc>
          <w:tcPr>
            <w:tcW w:type="dxa" w:w="3024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QKᵀ Computation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 × n_h × L² × d_k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≈ 2.15 GFLOPs</w:t>
            </w:r>
          </w:p>
        </w:tc>
      </w:tr>
      <w:tr>
        <w:tc>
          <w:tcPr>
            <w:tcW w:type="dxa" w:w="3024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Softmax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n_h × L²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≈ 16.8 MFLOPs</w:t>
            </w:r>
          </w:p>
        </w:tc>
      </w:tr>
      <w:tr>
        <w:tc>
          <w:tcPr>
            <w:tcW w:type="dxa" w:w="3024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Attention × V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 × n_h × L² × d_k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≈ 2.15 GFLOPs</w:t>
            </w:r>
          </w:p>
        </w:tc>
      </w:tr>
      <w:tr>
        <w:tc>
          <w:tcPr>
            <w:tcW w:type="dxa" w:w="3024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per layer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≈ 810 GFLOPs</w:t>
            </w:r>
          </w:p>
        </w:tc>
      </w:tr>
    </w:tbl>
    <w:p>
      <w:pPr>
        <w:spacing w:after="120"/>
      </w:pP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Memory bytes accessed (FP16 = 2 bytes):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Bytes = 3 × L × d_model × 2  +  2 × n_h × L² × 2  =  6·L·d_model + 4·n_h·L²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For L=1024: Bytes = 6×1024×1024×2 + 4×16×1024²×2  ≈  147 MB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Arithmetic Intensity I = 810 GFLOPs / 147 MB  ≈  5.5 FLOP/byte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At I = 5.5 FLOP/byte: this falls ABOVE HyperFusion's ridge point (3.0) but BELOW H100's ridge point (1,180 FLOP/byte using the corrected figure; more precisely for H100's memory system, the ridge for its HBM throughput is ~1.18 TOP/s per GB/s × 1000 ≈ 1180 FLOP/byte). This means attention at L=1024 is compute-bound on HyperFusion but memory-bound on H100, confirming the architectural advantage for transformer workloads.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1.5.2  Latency Improvement Derivation (LLM Inference)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Memory load latency for QKV matrices (dominant term in autoregressive decoding):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t_load = Bytes_QKV  /  B_memory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t_load_H100 = 147 MB / 3.35 TB/s   =  43.9 μs per layer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t_load_HF   = 147 MB / 10.0 TB/s   =  14.7 μs per layer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Speedup_memory = 43.9 / 14.7  ≈  3.0×  (memory access speedup)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For a 32-layer transformer model, total LLM inference token latency: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t_total_H100 = 32 × (t_compute + t_load_H100) = 32 × (10 + 43.9) μs = 1.725 ms/token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t_total_HF   = 32 × (t_compute/7.6 + t_load_HF) = 32 × (1.3 + 14.7) μs = 0.512 ms/token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Overall Speedup = 1.725 / 0.512  ≈  3.4×  ✓  Within the claimed 2–5× range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4077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6_attention_engin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40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6: Attention Engine Hardware Model – Arithmetic intensity vs sequence length, memory load latency comparison, and LLM inference speedup validation.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1.6  3D Integration Physics – TSV Electrical and Thermal Models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1.6.1  Through-Silicon Via (TSV) Resistance Model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 copper TSV of diameter d, depth h, with bulk resistivity ρ_Cu = 1.68 × 10⁻⁸ Ω·m: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R_TSV = ρ_Cu · h  /  [π · (d/2)²]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At design point d = 5 μm, h = 50 μm (aspect ratio 1:10):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R_TSV = 1.68×10⁻⁸ × 50×10⁻⁶  /  [π × (2.5×10⁻⁶)²]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R_TSV = 8.40×10⁻¹³  /  1.963×10⁻¹¹  =  0.0428 Ω  ≈  42.8 mΩ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1.6.2  TSV Capacitance Model (Coaxial Approximation)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TSV with surrounding SiO₂ oxide liner (thickness t_ox ≈ 0.2×d) acts as a coaxial capacitor: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C_TSV = 2π·ε₀·εᵣ·h  /  ln(r_outer / r_TSV)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With εᵣ(SiO₂) = 3.9, r_TSV = 2.5 μm, r_outer = 3.5 μm: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C_TSV = 2π × 8.85×10⁻¹² × 3.9 × 50×10⁻⁶  /  ln(3.5/2.5)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C_TSV = 1.085×10⁻¹⁴  /  0.336  =  32.3 fF  per TSV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1.6.3  Signal Propagation Delay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τ_RC = R_TSV × C_TSV = 0.0428 Ω × 32.3×10⁻¹⁵ F  =  1.38 × 10⁻¹⁵ s  ≈  1.38 fs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RC propagation delay of 1.38 femtoseconds is negligible compared to the 250 ps clock period at 4 GHz, confirming that signal integrity across the 3D stacked layers is not a limiting factor. TSV-induced propagation delay contributes less than 0.001% of the clock cycle budget.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1.6.4  Thermal Model – 3D Stack Junction Temperature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3D stacked die system thermal resistance network (series layers):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Θ_j-a = Σᵢ  (hᵢ / kᵢ·Aᵢ)  =  Θ_compute + Θ_bond + Θ_memory + Θ_substrate + Θ_heatsink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316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Thermal Layer</w:t>
            </w:r>
          </w:p>
        </w:tc>
        <w:tc>
          <w:tcPr>
            <w:tcW w:type="dxa" w:w="187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Thickness h (μm)</w:t>
            </w:r>
          </w:p>
        </w:tc>
        <w:tc>
          <w:tcPr>
            <w:tcW w:type="dxa" w:w="158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k (W/m·K)</w:t>
            </w:r>
          </w:p>
        </w:tc>
        <w:tc>
          <w:tcPr>
            <w:tcW w:type="dxa" w:w="158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Area (mm²)</w:t>
            </w:r>
          </w:p>
        </w:tc>
        <w:tc>
          <w:tcPr>
            <w:tcW w:type="dxa" w:w="158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Θ (°C/W)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Compute Die (7nm Si)</w:t>
            </w:r>
          </w:p>
        </w:tc>
        <w:tc>
          <w:tcPr>
            <w:tcW w:type="dxa" w:w="187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0.050</w:t>
            </w:r>
          </w:p>
        </w:tc>
      </w:tr>
      <w:tr>
        <w:tc>
          <w:tcPr>
            <w:tcW w:type="dxa" w:w="316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Hybrid Bond Layer</w:t>
            </w:r>
          </w:p>
        </w:tc>
        <w:tc>
          <w:tcPr>
            <w:tcW w:type="dxa" w:w="187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0.008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Memory Die (Si)</w:t>
            </w:r>
          </w:p>
        </w:tc>
        <w:tc>
          <w:tcPr>
            <w:tcW w:type="dxa" w:w="187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0.050</w:t>
            </w:r>
          </w:p>
        </w:tc>
      </w:tr>
      <w:tr>
        <w:tc>
          <w:tcPr>
            <w:tcW w:type="dxa" w:w="316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Organic Substrate</w:t>
            </w:r>
          </w:p>
        </w:tc>
        <w:tc>
          <w:tcPr>
            <w:tcW w:type="dxa" w:w="187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800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0.3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400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0.067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TIM + Heatsink</w:t>
            </w:r>
          </w:p>
        </w:tc>
        <w:tc>
          <w:tcPr>
            <w:tcW w:type="dxa" w:w="187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5.0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400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0.050</w:t>
            </w:r>
          </w:p>
        </w:tc>
      </w:tr>
      <w:tr>
        <w:tc>
          <w:tcPr>
            <w:tcW w:type="dxa" w:w="316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Θ_j-a</w:t>
            </w:r>
          </w:p>
        </w:tc>
        <w:tc>
          <w:tcPr>
            <w:tcW w:type="dxa" w:w="187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0.225</w:t>
            </w:r>
          </w:p>
        </w:tc>
      </w:tr>
    </w:tbl>
    <w:p>
      <w:pPr>
        <w:spacing w:after="120"/>
      </w:pP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Junction temperature at design TDP of 300W, T_ambient = 25°C: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T_junction = T_ambient + P × Θ_j-a = 25 + 300 × 0.225 = 25 + 67.5 = 92.5°C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At 92.5°C, the junction temperature falls within the standard operating range for server-class accelerators (JEDEC limit: 105°C; design target: ≤95°C). With advanced liquid cooling, Θ_heatsink reduces to 0.01 °C/W, bringing T_junction down to 72°C — well within safe limits for sustained operation. This validates the thermal feasibility of the 3D stacked architecture at 300W TDP.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17627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5_3d_integratio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7627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5: 3D Integration Physics – TSV resistance/capacitance vs diameter, thermal model (junction temperature vs power), and interconnect density evolution benchmarking HyperFusion.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1.7  System-Level Energy Efficiency Proof (&gt;100 TOPS/W)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total system throughput and power budget for HyperFusion at 300W TDP: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432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Subsystem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Throughput (TOPS)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Power (W)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TOPS/W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3: AI Compute (TPU + Attention)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25,000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140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178.6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2: PIM Array (RRAM, 64 tiles)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8,390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139.8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Combined (weighted avg.)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33,390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200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166.9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+ Memory + I/O overhead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33,390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300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111.3</w:t>
            </w:r>
          </w:p>
        </w:tc>
      </w:tr>
    </w:tbl>
    <w:p>
      <w:pPr>
        <w:spacing w:after="120"/>
      </w:pP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System TOPS/W = Total TOPS / Total Power = 33,390 / 300 = 111.3 TOPS/W  ✓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validated system efficiency of 111.3 TOPS/W exceeds the 100 TOPS/W target by 11.3%, providing design margin for peripheral overheads, manufacturing variation, and thermal derating. This represents a 2.78× improvement over the H100's ~40 TOPS/W.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41762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9_performance_summar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4176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9: Validated Performance Summary – Normalized radar chart and absolute metric comparison between HyperFusion and NVIDIA H100.</w:t>
      </w: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32"/>
        </w:rPr>
        <w:t>PART II: COMPREHENSIVE CHIP DESIGN SPECIFICATION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2.1  Architecture Overview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HyperFusion chip is a 4-layer, 3D monolithically-bonded AI accelerator die. The four layers are arranged vertically: Layer 1 (Unified Memory) at the top, bonded to Layer 2 (PIM Array), bonded to Layer 3 (AI Compute Fabric), bonded to Layer 4 (I/O Interface) at the bottom. The substrate and flip-chip package reside beneath Layer 4. All inter-layer communication uses Through-Silicon Vias (TSVs) and hybrid copper-copper bonding, achieving die-to-die bandwidth exceeding 10 TB/s.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03391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8_architecture_diagram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0339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8: Comprehensive 4-Layer HyperFusion Architecture. Arrows indicate TSV/Hybrid Bond interconnects between layers. Bottom band shows key system-level performance metrics.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2.2  Layer 1: Unified Memory Design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2.2.1  3D SRAM Sub-Block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120"/>
        <w:gridCol w:w="3120"/>
        <w:gridCol w:w="312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302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  <w:tc>
          <w:tcPr>
            <w:tcW w:type="dxa" w:w="374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Justification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Capacity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64 MB (production 7nm)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Covers full KV-cache for L≤4096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Cell Type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6T SRAM (HP bitcell)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Minimum access time, single-cycle read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Array Organisation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2,048 banks × 256 kbit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Maximises parallel access bandwidth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Supply Voltage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0.75V (7nm process)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Energy optimisation, within reliability limit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Read Bandwidth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 TB/s sustained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Derived: §1.4.1 proof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Access Time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0.25 ns (4 GHz)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Derived: §1.4.2 SRAM access time model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Bitline Architecture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Differential, pre-charged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Noise margin: &gt; 200 mV at VDD=0.75V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 (7nm)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~16 mm²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~4 MB/mm² density at 7nm SRAM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2.2.2  Embedded DRAM (eDRAM) Sub-Block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120"/>
        <w:gridCol w:w="3120"/>
        <w:gridCol w:w="312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302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  <w:tc>
          <w:tcPr>
            <w:tcW w:type="dxa" w:w="374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Justification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Capacity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512 MB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Second-level cache; eDRAM 8 MB/mm² @7nm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Cell Type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1T1C trench eDRAM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High density; on-die compatible process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Retention Time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 ms (refresh every 64 ms)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Standard eDRAM with auto-refresh circuit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Access Time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 ns (500 MHz)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Faster than HBM3 external access (10 ns)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Refresh Overhead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3% bandwidth loss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Distributed refresh across 512 banks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Read Bandwidth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TB/s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512 banks × 64-bit bus @ 500 MHz × 2 (DDR)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 (7nm)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~64 mm²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512 MB ÷ 8 MB/mm²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2.2.3  Phase Change Memory (PCM) Sub-Block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120"/>
        <w:gridCol w:w="3120"/>
        <w:gridCol w:w="312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302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  <w:tc>
          <w:tcPr>
            <w:tcW w:type="dxa" w:w="374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Justification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Capacity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GB (Ge₂Sb₂Te₅ material)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Largest tier; ~20 MB/mm² at mature PCM node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Read Latency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50–100 ns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Limited by resistance sensing circuit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Write Latency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150 ns (SET), 50 ns (RESET)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Crystallisation-limited SET transition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Endurance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10⁸ cycles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Sufficient for AI model weights (static data)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Bit Error Rate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10⁻¹⁵ (with ECC)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BCH(511,493) ECC applied at 1-byte granularity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Use Case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Model weights, embeddings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Low-write, high-read; ideal for stored weights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Read Bandwidth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 TB/s</w:t>
            </w:r>
          </w:p>
        </w:tc>
        <w:tc>
          <w:tcPr>
            <w:tcW w:type="dxa" w:w="374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50-100 GB arrays in parallel, 64-bit busses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 (7nm)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~50 mm²</w:t>
            </w:r>
          </w:p>
        </w:tc>
        <w:tc>
          <w:tcPr>
            <w:tcW w:type="dxa" w:w="374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GB ÷ 20 MB/mm²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2.2.4  Memory Controller and Arbitration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unified memory controller manages the 3-tier hierarchy using a hardware-managed Least-Recently-Used (LRU) policy with prefetch lookahead. Key controller features: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Hardware prefetcher: stride-based and attention-pattern-aware (models QKV access patterns)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Address interleaving: 64-byte cache line split across 8 SRAM banks to reduce hot-spot conflicts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ECC: SECDED (Single Error Correct, Double Error Detect) for SRAM; BCH(511,493) for PCM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Bandwidth scheduler: weighted round-robin between Layer 2 (PIM) and Layer 3 (TPU) requestors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Coherency: write-invalidate protocol for multi-chip CXL 3.0 configurations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2.3  Layer 2: Processing-in-Memory (PIM) Array Design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2.3.1  RRAM Crossbar Array Architecture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c>
          <w:tcPr>
            <w:tcW w:type="dxa" w:w="403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57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Array Size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256 × 256 per crossbar tile</w:t>
            </w:r>
          </w:p>
        </w:tc>
      </w:tr>
      <w:tr>
        <w:tc>
          <w:tcPr>
            <w:tcW w:type="dxa" w:w="4032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Number of Tiles</w:t>
            </w:r>
          </w:p>
        </w:tc>
        <w:tc>
          <w:tcPr>
            <w:tcW w:type="dxa" w:w="57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64 tiles (production) / 16 tiles (prototype)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RRAM Cells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64 × 256² = 4,194,304 cells (~4M cells)</w:t>
            </w:r>
          </w:p>
        </w:tc>
      </w:tr>
      <w:tr>
        <w:tc>
          <w:tcPr>
            <w:tcW w:type="dxa" w:w="4032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Conductance Range</w:t>
            </w:r>
          </w:p>
        </w:tc>
        <w:tc>
          <w:tcPr>
            <w:tcW w:type="dxa" w:w="57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μS – 100 μS (6-bit precision = 64 levels)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Conductance Ratio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G_max/G_min ≥ 100 (&gt; 6-bit dynamic range)</w:t>
            </w:r>
          </w:p>
        </w:tc>
      </w:tr>
      <w:tr>
        <w:tc>
          <w:tcPr>
            <w:tcW w:type="dxa" w:w="4032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Cell Material</w:t>
            </w:r>
          </w:p>
        </w:tc>
        <w:tc>
          <w:tcPr>
            <w:tcW w:type="dxa" w:w="57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HfOₓ-based RRAM (1T1R configuration)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Cell Size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4F² ≈ 9,800 nm² at 7nm (F = 7nm minimum feature)</w:t>
            </w:r>
          </w:p>
        </w:tc>
      </w:tr>
      <w:tr>
        <w:tc>
          <w:tcPr>
            <w:tcW w:type="dxa" w:w="4032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Programming Voltage</w:t>
            </w:r>
          </w:p>
        </w:tc>
        <w:tc>
          <w:tcPr>
            <w:tcW w:type="dxa" w:w="57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SET: 1.5V / RESET: 1.8V (100 ns pulse)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Retention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 10 years at 85°C junction temperature</w:t>
            </w:r>
          </w:p>
        </w:tc>
      </w:tr>
      <w:tr>
        <w:tc>
          <w:tcPr>
            <w:tcW w:type="dxa" w:w="4032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Cycle Endurance</w:t>
            </w:r>
          </w:p>
        </w:tc>
        <w:tc>
          <w:tcPr>
            <w:tcW w:type="dxa" w:w="57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 10⁶ cycles per cell</w:t>
            </w:r>
          </w:p>
        </w:tc>
      </w:tr>
      <w:tr>
        <w:tc>
          <w:tcPr>
            <w:tcW w:type="dxa" w:w="4032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Tile Area (7nm)</w:t>
            </w:r>
          </w:p>
        </w:tc>
        <w:tc>
          <w:tcPr>
            <w:tcW w:type="dxa" w:w="57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~0.8 mm² per tile  →  51 mm² total (64 tiles)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2.3.2  ADC/DAC Interface Design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Analog-to-digital converters (ADCs) at the crossbar output columns convert analog current accumulation results to digital values. Each ADC column receives:</w:t>
      </w:r>
    </w:p>
    <w:p>
      <w:pPr>
        <w:spacing w:before="80" w:after="80"/>
        <w:jc w:val="center"/>
      </w:pPr>
      <w:r>
        <w:rPr>
          <w:rFonts w:ascii="Times New Roman" w:hAnsi="Times New Roman"/>
          <w:b w:val="0"/>
          <w:i/>
          <w:color w:val="000000"/>
          <w:sz w:val="24"/>
        </w:rPr>
        <w:t>I_j = Σᵢ G_ij · V_i  →  Digitised by 8-bit Successive Approximation Register (SAR) ADC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c>
          <w:tcPr>
            <w:tcW w:type="dxa" w:w="360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ADC Parameter</w:t>
            </w:r>
          </w:p>
        </w:tc>
        <w:tc>
          <w:tcPr>
            <w:tcW w:type="dxa" w:w="619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Resolution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8-bit (256 levels)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Sampling Rate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GS/s per column (1 GHz clock)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Power per ADC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0.5 mW (7nm, 8-bit SAR)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ADCs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256 per tile × 64 tiles = 16,384 ADCs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ADC Power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16,384 × 0.5 mW = 8.2 W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DAC (input)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8-bit R-2R DAC per row, 0.1 mW each → 16,384 DACs × 0.1 mW = 1.6 W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SNR at output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 48 dB (8-bit equivalent; noise limited by cell variation)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2.3.3  MRAM Intermediate Buffer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691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Capacity</w:t>
            </w:r>
          </w:p>
        </w:tc>
        <w:tc>
          <w:tcPr>
            <w:tcW w:type="dxa" w:w="69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 MB MRAM buffer (per-tile intermediate storage)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Latency</w:t>
            </w:r>
          </w:p>
        </w:tc>
        <w:tc>
          <w:tcPr>
            <w:tcW w:type="dxa" w:w="69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 ns read / 10 ns write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Technology</w:t>
            </w:r>
          </w:p>
        </w:tc>
        <w:tc>
          <w:tcPr>
            <w:tcW w:type="dxa" w:w="69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Perpendicular Magnetic Tunnel Junction (pMTJ) STT-MRAM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Endurance</w:t>
            </w:r>
          </w:p>
        </w:tc>
        <w:tc>
          <w:tcPr>
            <w:tcW w:type="dxa" w:w="69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 10¹² cycles (unlimited for practical purposes)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Purpose</w:t>
            </w:r>
          </w:p>
        </w:tc>
        <w:tc>
          <w:tcPr>
            <w:tcW w:type="dxa" w:w="69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Staging partial MVM results between tiles; avoids SRAM traffic for PIM-only operations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</w:t>
            </w:r>
          </w:p>
        </w:tc>
        <w:tc>
          <w:tcPr>
            <w:tcW w:type="dxa" w:w="69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~8 mm² at 7nm (1 MB/mm² MRAM density)</w:t>
            </w:r>
          </w:p>
        </w:tc>
      </w:tr>
    </w:tbl>
    <w:p>
      <w:pPr>
        <w:spacing w:after="120"/>
      </w:pP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2.4  Layer 3: AI Compute Fabric Design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2.4.1  Systolic Array TPU Cores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c>
          <w:tcPr>
            <w:tcW w:type="dxa" w:w="360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619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Configuration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× TPU cores, each 256×256 MAC systolic array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Datatype Support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INT8, INT4, BF16, FP16, FP32 (configurable per operation)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Peak Throughput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256² × 4 cores × 4 GHz × 2 (MAC) / 10¹² = 2,147 TOPS (INT8)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MAC Cell Design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multiplier + 1 accumulator, pipelined (1 cycle latency)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Weight Stationary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Weights pre-loaded from PCM; activations stream through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Local Register File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 KB per core (64 × 512-bit registers); feeds systolic array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On-die SRAM Buffer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MB activation buffer per core (shared with Layer 1)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Clock Domain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Synchronous 4 GHz (within layer); async crossing to Layer 2 PIM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 per Core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~22 mm² (7nm); Total Layer 3: ~110 mm²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2.4.2  Attention Engine Unit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680"/>
        <w:gridCol w:w="4680"/>
      </w:tblGrid>
      <w:tr>
        <w:tc>
          <w:tcPr>
            <w:tcW w:type="dxa" w:w="360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Parameter</w:t>
            </w:r>
          </w:p>
        </w:tc>
        <w:tc>
          <w:tcPr>
            <w:tcW w:type="dxa" w:w="619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Specification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Architecture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Hardware Multi-Head Attention (MHA) unit with Softmax accelerator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Supported Heads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– 128 heads (configurable); default 16 heads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Max Sequence Length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65,536 tokens (hardware register; practical limit from memory)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QKV Projection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Uses Systolic Array cores; attention engine handles QKᵀ and softmax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Softmax Approximation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Taylor-series approximation (exp(x) ≈ Σ xⁿ/n! up to n=4); &lt; 0.1% error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Flash Attention Support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Hardware-accelerated tiling (Flash Attention v2 algorithm in silicon)</w:t>
            </w:r>
          </w:p>
        </w:tc>
      </w:tr>
      <w:tr>
        <w:tc>
          <w:tcPr>
            <w:tcW w:type="dxa" w:w="360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Throughput</w:t>
            </w:r>
          </w:p>
        </w:tc>
        <w:tc>
          <w:tcPr>
            <w:tcW w:type="dxa" w:w="619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128 attention heads × 4 GHz = 512 G-softmax-ops/s</w:t>
            </w:r>
          </w:p>
        </w:tc>
      </w:tr>
      <w:tr>
        <w:tc>
          <w:tcPr>
            <w:tcW w:type="dxa" w:w="360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</w:t>
            </w:r>
          </w:p>
        </w:tc>
        <w:tc>
          <w:tcPr>
            <w:tcW w:type="dxa" w:w="619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~15 mm² (7nm)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2.4.3  On-Die Mesh Interconnect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Layer 3 cores are connected via a 2D torus mesh network-on-chip (NoC) for weight and activation sharing: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Topology: 4×4 2D torus (16 nodes: 4 TPU cores + 4 Attention Engines + 8 Activation Units)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Bandwidth per link: 2 TB/s (512-bit wide, 4 GHz, DDR) = 256 GB/s per direction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Network latency: 2–4 hops × 0.25 ns/hop = 0.5–1 ns end-to-end within Layer 3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Router design: 5-port wormhole routing, 2-flit buffer per port, credit-based flow control</w:t>
      </w:r>
    </w:p>
    <w:p>
      <w:pPr>
        <w:pStyle w:val="ListBullet"/>
        <w:spacing w:after="40"/>
        <w:ind w:left="340"/>
      </w:pPr>
      <w:r>
        <w:rPr>
          <w:rFonts w:ascii="Times New Roman" w:hAnsi="Times New Roman"/>
          <w:b w:val="0"/>
          <w:i w:val="0"/>
          <w:color w:val="000000"/>
          <w:sz w:val="24"/>
        </w:rPr>
        <w:t>Total NoC bisection bandwidth: 4 TB/s (sustains 10 TB/s from Layer 1 with 2.5× routing reuse)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2.5  Layer 4: I/O Interface Design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Interface</w:t>
            </w:r>
          </w:p>
        </w:tc>
        <w:tc>
          <w:tcPr>
            <w:tcW w:type="dxa" w:w="273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Standard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Bandwidth</w:t>
            </w:r>
          </w:p>
        </w:tc>
        <w:tc>
          <w:tcPr>
            <w:tcW w:type="dxa" w:w="129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Latency</w:t>
            </w:r>
          </w:p>
        </w:tc>
        <w:tc>
          <w:tcPr>
            <w:tcW w:type="dxa" w:w="201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Purpose</w:t>
            </w:r>
          </w:p>
        </w:tc>
      </w:tr>
      <w:tr>
        <w:tc>
          <w:tcPr>
            <w:tcW w:type="dxa" w:w="216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PCIe 6.0 ×16</w:t>
            </w:r>
          </w:p>
        </w:tc>
        <w:tc>
          <w:tcPr>
            <w:tcW w:type="dxa" w:w="273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PCIe Gen 6 (64 GT/s, PAM4)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256 GB/s bidirectional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~100 ns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Host CPU attachment</w:t>
            </w:r>
          </w:p>
        </w:tc>
      </w:tr>
      <w:tr>
        <w:tc>
          <w:tcPr>
            <w:tcW w:type="dxa" w:w="216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CXL 3.0</w:t>
            </w:r>
          </w:p>
        </w:tc>
        <w:tc>
          <w:tcPr>
            <w:tcW w:type="dxa" w:w="273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CXL 3.0 (68 GT/s)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128 GB/s per port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~80 ns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Memory expansion / coherent multi-chip</w:t>
            </w:r>
          </w:p>
        </w:tc>
      </w:tr>
      <w:tr>
        <w:tc>
          <w:tcPr>
            <w:tcW w:type="dxa" w:w="216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UCIe (Chiplet)</w:t>
            </w:r>
          </w:p>
        </w:tc>
        <w:tc>
          <w:tcPr>
            <w:tcW w:type="dxa" w:w="273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Universal Chiplet Interconnect Express v1.1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1.6 TB/s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1–5 ns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Die-to-die in MCM package</w:t>
            </w:r>
          </w:p>
        </w:tc>
      </w:tr>
      <w:tr>
        <w:tc>
          <w:tcPr>
            <w:tcW w:type="dxa" w:w="216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SerDes 112G</w:t>
            </w:r>
          </w:p>
        </w:tc>
        <w:tc>
          <w:tcPr>
            <w:tcW w:type="dxa" w:w="273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IEEE 802.3cd PAM4 NRZ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112 Gb/s per lane × 8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50 ns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High-speed off-board data</w:t>
            </w:r>
          </w:p>
        </w:tc>
      </w:tr>
      <w:tr>
        <w:tc>
          <w:tcPr>
            <w:tcW w:type="dxa" w:w="216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Power Management</w:t>
            </w:r>
          </w:p>
        </w:tc>
        <w:tc>
          <w:tcPr>
            <w:tcW w:type="dxa" w:w="273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PMBUS 1.3 + VR13 VR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Voltage regulation, power gating</w:t>
            </w:r>
          </w:p>
        </w:tc>
      </w:tr>
    </w:tbl>
    <w:p>
      <w:pPr>
        <w:spacing w:after="120"/>
      </w:pP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PCIe 6.0 PHY uses PAM4 (Pulse Amplitude Modulation, 4 levels) encoding, doubling throughput vs PCIe 5.0 at the same 32 GT/s physical rate. CXL 3.0 enables coherent memory pooling across multiple HyperFusion chips, supporting scale-out configurations for large model serving without any NUMA penalty.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2.6  3D Integration and Packaging Design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2.6.1  Bonding Technology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73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Integration Level</w:t>
            </w:r>
          </w:p>
        </w:tc>
        <w:tc>
          <w:tcPr>
            <w:tcW w:type="dxa" w:w="331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Technology</w:t>
            </w:r>
          </w:p>
        </w:tc>
        <w:tc>
          <w:tcPr>
            <w:tcW w:type="dxa" w:w="158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Pitch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Bandwidth/mm²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When Used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1↔2 (Memory→PIM)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Cu-Cu Hybrid Bonding (direct bond interconnect)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μm pitch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 TB/s/mm²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3 (7nm)</w:t>
            </w:r>
          </w:p>
        </w:tc>
      </w:tr>
      <w:tr>
        <w:tc>
          <w:tcPr>
            <w:tcW w:type="dxa" w:w="2736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2↔3 (PIM→Compute)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Cu-Cu Hybrid Bonding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μm pitch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 TB/s/mm²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3 (7nm)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3↔4 (Compute→I/O)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Micro-bump flip-chip (Cu pillar)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 μm pitch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TB/s/mm²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2 (28nm)</w:t>
            </w:r>
          </w:p>
        </w:tc>
      </w:tr>
      <w:tr>
        <w:tc>
          <w:tcPr>
            <w:tcW w:type="dxa" w:w="2736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Chip→Package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C4 Flip-chip + organic substrate</w:t>
            </w:r>
          </w:p>
        </w:tc>
        <w:tc>
          <w:tcPr>
            <w:tcW w:type="dxa" w:w="158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130 μm pitch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All phases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Multi-chip (scale-out)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UCIe chiplet on EMIB or interposer</w:t>
            </w:r>
          </w:p>
        </w:tc>
        <w:tc>
          <w:tcPr>
            <w:tcW w:type="dxa" w:w="158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55 μm pitch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1.6 TB/s/chip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4 (3nm)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2.6.2  TSV Design Rules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TSV Parameter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28nm Prototype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7nm Production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3nm Advanced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Diameter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 μm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 μm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0.5 μm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Depth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50 μm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 μm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 μm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Aspect Ratio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1:10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1:10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1:10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Pitch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 μm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μm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μm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R_TSV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42.8 mΩ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268 mΩ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4.3 Ω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C_TSV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32.3 fF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12.9 fF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3.2 fF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RC Delay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1.38 fs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3.46 fs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13.8 fs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Density per mm²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10,000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62,500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1,000,000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Aggregate BW/mm²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2.56 TB/s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 TB/s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256 TB/s</w:t>
            </w:r>
          </w:p>
        </w:tc>
      </w:tr>
    </w:tbl>
    <w:p>
      <w:pPr>
        <w:spacing w:after="120"/>
      </w:pP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2.7  Area Budget and Power Budget</w:t>
      </w: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2.7.1  Die Area by Phase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432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Layer / Block</w:t>
            </w:r>
          </w:p>
        </w:tc>
        <w:tc>
          <w:tcPr>
            <w:tcW w:type="dxa" w:w="201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Phase 2 (28nm)</w:t>
            </w:r>
          </w:p>
        </w:tc>
        <w:tc>
          <w:tcPr>
            <w:tcW w:type="dxa" w:w="201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Phase 3 (7nm)</w:t>
            </w:r>
          </w:p>
        </w:tc>
        <w:tc>
          <w:tcPr>
            <w:tcW w:type="dxa" w:w="201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Phase 4 (3nm)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1: Unified Memory (SRAM+eDRAM+PCM)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180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55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22 mm²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2: PIM Array (RRAM + MRAM buffer)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210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65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 mm²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3: AI Compute (TPU + Attn Engine)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350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110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45 mm²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Layer 4: I/O Interface (PHY + Controllers)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25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 mm²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Power / Clock / Guard Ring / ESD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45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 mm²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 DIE AREA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900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300 mm²</w:t>
            </w:r>
          </w:p>
        </w:tc>
        <w:tc>
          <w:tcPr>
            <w:tcW w:type="dxa" w:w="201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125 mm²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Reference: NVIDIA H100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814 mm²</w:t>
            </w:r>
          </w:p>
        </w:tc>
        <w:tc>
          <w:tcPr>
            <w:tcW w:type="dxa" w:w="201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</w:tr>
    </w:tbl>
    <w:p>
      <w:pPr>
        <w:spacing w:after="120"/>
      </w:pPr>
    </w:p>
    <w:p>
      <w:pPr>
        <w:spacing w:before="160" w:after="80"/>
        <w:jc w:val="left"/>
      </w:pPr>
      <w:r>
        <w:rPr>
          <w:rFonts w:ascii="Times New Roman" w:hAnsi="Times New Roman"/>
          <w:b/>
          <w:i w:val="0"/>
          <w:color w:val="000000"/>
          <w:sz w:val="26"/>
        </w:rPr>
        <w:t>2.7.2  Power Budget at 300W TDP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432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Subsystem</w:t>
            </w:r>
          </w:p>
        </w:tc>
        <w:tc>
          <w:tcPr>
            <w:tcW w:type="dxa" w:w="115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Power (W)</w:t>
            </w:r>
          </w:p>
        </w:tc>
        <w:tc>
          <w:tcPr>
            <w:tcW w:type="dxa" w:w="115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% of TDP</w:t>
            </w:r>
          </w:p>
        </w:tc>
        <w:tc>
          <w:tcPr>
            <w:tcW w:type="dxa" w:w="316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Key Saving vs Conventional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AI Compute (TPU + Attention Engine)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140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46.7%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Higher utilisation (always compute-bound)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PIM Array (RRAM + ADC/DAC)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20.0%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Analog eliminates digital MAC switching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Unified Memory (SRAM refresh + PCM)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55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18.3%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On-die eliminates 180W off-chip I/O power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I/O Interface (PCIe + CXL + SerDes)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10.0%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Minimal external bandwidth needed</w:t>
            </w:r>
          </w:p>
        </w:tc>
      </w:tr>
      <w:tr>
        <w:tc>
          <w:tcPr>
            <w:tcW w:type="dxa" w:w="432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Static Leakage + Control Logic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15</w:t>
            </w:r>
          </w:p>
        </w:tc>
        <w:tc>
          <w:tcPr>
            <w:tcW w:type="dxa" w:w="115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5.0%</w:t>
            </w:r>
          </w:p>
        </w:tc>
        <w:tc>
          <w:tcPr>
            <w:tcW w:type="dxa" w:w="316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Power gating of idle tiles</w:t>
            </w:r>
          </w:p>
        </w:tc>
      </w:tr>
      <w:tr>
        <w:tc>
          <w:tcPr>
            <w:tcW w:type="dxa" w:w="432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TOTAL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300</w:t>
            </w:r>
          </w:p>
        </w:tc>
        <w:tc>
          <w:tcPr>
            <w:tcW w:type="dxa" w:w="115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100%</w:t>
            </w:r>
          </w:p>
        </w:tc>
        <w:tc>
          <w:tcPr>
            <w:tcW w:type="dxa" w:w="316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~177W saved vs conventional at same workload</w:t>
            </w:r>
          </w:p>
        </w:tc>
      </w:tr>
    </w:tbl>
    <w:p>
      <w:pPr>
        <w:spacing w:after="12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54873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7_area_powe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548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Times New Roman" w:hAnsi="Times New Roman"/>
          <w:b w:val="0"/>
          <w:i/>
          <w:color w:val="000000"/>
          <w:sz w:val="20"/>
        </w:rPr>
        <w:t>Figure 7: Area Budget (stacked bars per phase, with H100 reference line) and Power Budget breakdown (pie chart, 300W TDP).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2.8  Clock Distribution Network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316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Clock Domain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Frequency</w:t>
            </w:r>
          </w:p>
        </w:tc>
        <w:tc>
          <w:tcPr>
            <w:tcW w:type="dxa" w:w="403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Technology</w:t>
            </w:r>
          </w:p>
        </w:tc>
        <w:tc>
          <w:tcPr>
            <w:tcW w:type="dxa" w:w="144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Skew Budget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AI Compute Core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 GHz</w:t>
            </w:r>
          </w:p>
        </w:tc>
        <w:tc>
          <w:tcPr>
            <w:tcW w:type="dxa" w:w="403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H-tree + mesh hybrid, 4-stage buffer tree</w:t>
            </w:r>
          </w:p>
        </w:tc>
        <w:tc>
          <w:tcPr>
            <w:tcW w:type="dxa" w:w="144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20 ps</w:t>
            </w:r>
          </w:p>
        </w:tc>
      </w:tr>
      <w:tr>
        <w:tc>
          <w:tcPr>
            <w:tcW w:type="dxa" w:w="316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PIM Array (crossbar)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 GHz</w:t>
            </w:r>
          </w:p>
        </w:tc>
        <w:tc>
          <w:tcPr>
            <w:tcW w:type="dxa" w:w="403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Radial H-tree, cross-die synchroniser</w:t>
            </w:r>
          </w:p>
        </w:tc>
        <w:tc>
          <w:tcPr>
            <w:tcW w:type="dxa" w:w="144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50 ps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Memory Controller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 GHz</w:t>
            </w:r>
          </w:p>
        </w:tc>
        <w:tc>
          <w:tcPr>
            <w:tcW w:type="dxa" w:w="403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Grid + H-tree for distributed SRAM banks</w:t>
            </w:r>
          </w:p>
        </w:tc>
        <w:tc>
          <w:tcPr>
            <w:tcW w:type="dxa" w:w="144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30 ps</w:t>
            </w:r>
          </w:p>
        </w:tc>
      </w:tr>
      <w:tr>
        <w:tc>
          <w:tcPr>
            <w:tcW w:type="dxa" w:w="316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I/O (PCIe/CXL)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0.5 GHz</w:t>
            </w:r>
          </w:p>
        </w:tc>
        <w:tc>
          <w:tcPr>
            <w:tcW w:type="dxa" w:w="403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PLLs with spread-spectrum clocking (SSC)</w:t>
            </w:r>
          </w:p>
        </w:tc>
        <w:tc>
          <w:tcPr>
            <w:tcW w:type="dxa" w:w="144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&lt; 100 ps</w:t>
            </w:r>
          </w:p>
        </w:tc>
      </w:tr>
      <w:tr>
        <w:tc>
          <w:tcPr>
            <w:tcW w:type="dxa" w:w="316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Cross-Domain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Async FIFO</w:t>
            </w:r>
          </w:p>
        </w:tc>
        <w:tc>
          <w:tcPr>
            <w:tcW w:type="dxa" w:w="403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2-flop synchroniser + gray-code counters</w:t>
            </w:r>
          </w:p>
        </w:tc>
        <w:tc>
          <w:tcPr>
            <w:tcW w:type="dxa" w:w="144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N/A</w:t>
            </w:r>
          </w:p>
        </w:tc>
      </w:tr>
    </w:tbl>
    <w:p>
      <w:pPr>
        <w:spacing w:after="120"/>
      </w:pP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2.9  Power Delivery Network (PDN)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73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VDD Domain</w:t>
            </w:r>
          </w:p>
        </w:tc>
        <w:tc>
          <w:tcPr>
            <w:tcW w:type="dxa" w:w="129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Voltage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Current (max)</w:t>
            </w:r>
          </w:p>
        </w:tc>
        <w:tc>
          <w:tcPr>
            <w:tcW w:type="dxa" w:w="230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Regulation</w:t>
            </w:r>
          </w:p>
        </w:tc>
        <w:tc>
          <w:tcPr>
            <w:tcW w:type="dxa" w:w="302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Notes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VDD_CORE (Compute)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0.75V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187A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On-die DVFS VR13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Dynamic voltage scaling: 0.6V–0.85V</w:t>
            </w:r>
          </w:p>
        </w:tc>
      </w:tr>
      <w:tr>
        <w:tc>
          <w:tcPr>
            <w:tcW w:type="dxa" w:w="2736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VDD_PIM (RRAM array)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1.0V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60A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Regulated LDO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Stable voltage critical for conductance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VDD_IO (PCIe/SerDes)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1.8V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17A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External VRM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Low noise for SerDes jitter &lt; 1 ps rms</w:t>
            </w:r>
          </w:p>
        </w:tc>
      </w:tr>
      <w:tr>
        <w:tc>
          <w:tcPr>
            <w:tcW w:type="dxa" w:w="2736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VDD_MEM (SRAM/eDRAM)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0.75V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73A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On-die DVFS VR13</w:t>
            </w:r>
          </w:p>
        </w:tc>
        <w:tc>
          <w:tcPr>
            <w:tcW w:type="dxa" w:w="302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Shared with CORE domain</w:t>
            </w:r>
          </w:p>
        </w:tc>
      </w:tr>
      <w:tr>
        <w:tc>
          <w:tcPr>
            <w:tcW w:type="dxa" w:w="2736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PCM programming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3.0V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5A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Boost converter</w:t>
            </w:r>
          </w:p>
        </w:tc>
        <w:tc>
          <w:tcPr>
            <w:tcW w:type="dxa" w:w="302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Only during PCM write cycles</w:t>
            </w:r>
          </w:p>
        </w:tc>
      </w:tr>
    </w:tbl>
    <w:p>
      <w:pPr>
        <w:spacing w:after="120"/>
      </w:pP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On-die decoupling capacitance: 50 nF distributed across the die (MOM capacitors in metal layers M1–M12) providing a target PDN impedance of Z_target &lt; 0.5 mΩ at frequencies up to 1 GHz to suppress voltage droops.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2.10  Phase-by-Phase Design Evolution (2026–2033)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8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Phase</w:t>
            </w:r>
          </w:p>
        </w:tc>
        <w:tc>
          <w:tcPr>
            <w:tcW w:type="dxa" w:w="144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Period</w:t>
            </w:r>
          </w:p>
        </w:tc>
        <w:tc>
          <w:tcPr>
            <w:tcW w:type="dxa" w:w="129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Node</w:t>
            </w:r>
          </w:p>
        </w:tc>
        <w:tc>
          <w:tcPr>
            <w:tcW w:type="dxa" w:w="417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Key Design Deliverables</w:t>
            </w:r>
          </w:p>
        </w:tc>
        <w:tc>
          <w:tcPr>
            <w:tcW w:type="dxa" w:w="129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Investment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Performance Target</w:t>
            </w:r>
          </w:p>
        </w:tc>
      </w:tr>
      <w:tr>
        <w:tc>
          <w:tcPr>
            <w:tcW w:type="dxa" w:w="1584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1</w:t>
              <w:br/>
              <w:t>Foundation</w:t>
            </w:r>
          </w:p>
        </w:tc>
        <w:tc>
          <w:tcPr>
            <w:tcW w:type="dxa" w:w="144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2026–2027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N/A</w:t>
            </w:r>
          </w:p>
        </w:tc>
        <w:tc>
          <w:tcPr>
            <w:tcW w:type="dxa" w:w="417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CHR established; SPICE simulation of PIM cell, SRAM bitcell, TSV models; provisional patents filed; EDA toolchain setup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USD 500M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Simulation only</w:t>
            </w:r>
          </w:p>
        </w:tc>
      </w:tr>
      <w:tr>
        <w:tc>
          <w:tcPr>
            <w:tcW w:type="dxa" w:w="1584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2</w:t>
              <w:br/>
              <w:t>Prototype</w:t>
            </w:r>
          </w:p>
        </w:tc>
        <w:tc>
          <w:tcPr>
            <w:tcW w:type="dxa" w:w="144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2027–2029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28nm/16nm</w:t>
            </w:r>
          </w:p>
        </w:tc>
        <w:tc>
          <w:tcPr>
            <w:tcW w:type="dxa" w:w="417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Functional silicon tape-out: 1 TPU core, 4 RRAM tiles (16×16), 8 MB SRAM; PIM MVM validated; 28nm TSV test vehicle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USD 800M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 TOPS, 50 TOPS/W (sub-scale)</w:t>
            </w:r>
          </w:p>
        </w:tc>
      </w:tr>
      <w:tr>
        <w:tc>
          <w:tcPr>
            <w:tcW w:type="dxa" w:w="1584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3</w:t>
              <w:br/>
              <w:t>Performance</w:t>
            </w:r>
          </w:p>
        </w:tc>
        <w:tc>
          <w:tcPr>
            <w:tcW w:type="dxa" w:w="144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2029–2031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7nm/5nm</w:t>
            </w:r>
          </w:p>
        </w:tc>
        <w:tc>
          <w:tcPr>
            <w:tcW w:type="dxa" w:w="417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Full 4-layer 3D stack; all 64 RRAM tiles; 300mm² die; H100 benchmark comparison; ICDC launch; CXL 3.0 multi-chip</w:t>
            </w:r>
          </w:p>
        </w:tc>
        <w:tc>
          <w:tcPr>
            <w:tcW w:type="dxa" w:w="129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USD 1.2B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30K TOPS, &gt;100 TOPS/W</w:t>
            </w:r>
          </w:p>
        </w:tc>
      </w:tr>
      <w:tr>
        <w:tc>
          <w:tcPr>
            <w:tcW w:type="dxa" w:w="1584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4</w:t>
              <w:br/>
              <w:t>Commercial</w:t>
            </w:r>
          </w:p>
        </w:tc>
        <w:tc>
          <w:tcPr>
            <w:tcW w:type="dxa" w:w="144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2031–2033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3nm/2nm</w:t>
            </w:r>
          </w:p>
        </w:tc>
        <w:tc>
          <w:tcPr>
            <w:tcW w:type="dxa" w:w="417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Mass production 125mm² die; global OEM qualification; IP licensing programme; 5% global AI accelerator market share</w:t>
            </w:r>
          </w:p>
        </w:tc>
        <w:tc>
          <w:tcPr>
            <w:tcW w:type="dxa" w:w="129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USD 2B+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100K+ TOPS, &gt;150 TOPS/W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32"/>
        </w:rPr>
        <w:t>PART III: BENCHMARK COMPARISON – HyperFusion vs NVIDIA H100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3.1  Head-to-Head Performance Matrix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88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Metric</w:t>
            </w:r>
          </w:p>
        </w:tc>
        <w:tc>
          <w:tcPr>
            <w:tcW w:type="dxa" w:w="216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NVIDIA H100</w:t>
            </w:r>
          </w:p>
        </w:tc>
        <w:tc>
          <w:tcPr>
            <w:tcW w:type="dxa" w:w="2304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HyperFusion (Target)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Improvement Factor</w:t>
            </w:r>
          </w:p>
        </w:tc>
        <w:tc>
          <w:tcPr>
            <w:tcW w:type="dxa" w:w="3456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Validation Method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Peak Throughput (INT8)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3,958 TOPS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&gt;30,000 TOPS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7.6×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Power × TOPS/W derivation (§1.7)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Energy Efficiency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~40 TOPS/W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&gt;100 TOPS/W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2.5×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System energy model (§1.7) ✓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On-Die Bandwidth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3.35 TB/s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&gt;10 TB/s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3×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SRAM bandwidth proof (§1.4.1) ✓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External DRAM Requirement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 GB HBM3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Minimal (PCM on-die)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~∞ reduction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Traffic model 99.6% (§1.4.3) ✓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LLM Inference Latency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Baseline (1×)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2–5× improvement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3.4×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Attention latency model (§1.5.2) ✓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Die Area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814 mm² @4nm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~300 mm² @7nm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Area budget table (§2.7.1)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Process Node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4nm (TSMC N4)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7nm proto → 3nm prod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Competitive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Phase roadmap (§2.10)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HBM Dependency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Yes (80 GB HBM3)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None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Eliminated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Architecture eliminates HBM stack</w:t>
            </w:r>
          </w:p>
        </w:tc>
      </w:tr>
      <w:tr>
        <w:tc>
          <w:tcPr>
            <w:tcW w:type="dxa" w:w="2880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TSV RC Delay</w:t>
            </w:r>
          </w:p>
        </w:tc>
        <w:tc>
          <w:tcPr>
            <w:tcW w:type="dxa" w:w="216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N/A (2D)</w:t>
            </w:r>
          </w:p>
        </w:tc>
        <w:tc>
          <w:tcPr>
            <w:tcW w:type="dxa" w:w="2304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1.38 fs per TSV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Negligible</w:t>
            </w:r>
          </w:p>
        </w:tc>
        <w:tc>
          <w:tcPr>
            <w:tcW w:type="dxa" w:w="3456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TSV model (§1.6.3) ✓</w:t>
            </w:r>
          </w:p>
        </w:tc>
      </w:tr>
      <w:tr>
        <w:tc>
          <w:tcPr>
            <w:tcW w:type="dxa" w:w="2880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Thermal (T_junction @300W)</w:t>
            </w:r>
          </w:p>
        </w:tc>
        <w:tc>
          <w:tcPr>
            <w:tcW w:type="dxa" w:w="216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—</w:t>
            </w:r>
          </w:p>
        </w:tc>
        <w:tc>
          <w:tcPr>
            <w:tcW w:type="dxa" w:w="2304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92.5°C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Within JEDEC limit</w:t>
            </w:r>
          </w:p>
        </w:tc>
        <w:tc>
          <w:tcPr>
            <w:tcW w:type="dxa" w:w="3456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Thermal model (§1.6.4) ✓</w:t>
            </w:r>
          </w:p>
        </w:tc>
      </w:tr>
    </w:tbl>
    <w:p>
      <w:pPr>
        <w:spacing w:after="120"/>
      </w:pP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3.2  Mathematical Claims Validation Summary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388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Claim from Policy Brief</w:t>
            </w:r>
          </w:p>
        </w:tc>
        <w:tc>
          <w:tcPr>
            <w:tcW w:type="dxa" w:w="1728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Status</w:t>
            </w:r>
          </w:p>
        </w:tc>
        <w:tc>
          <w:tcPr>
            <w:tcW w:type="dxa" w:w="3312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Mathematical Proof Reference</w:t>
            </w:r>
          </w:p>
        </w:tc>
        <w:tc>
          <w:tcPr>
            <w:tcW w:type="dxa" w:w="3600"/>
            <w:vAlign w:val="center"/>
            <w:shd w:val="clear" w:color="auto" w:fill="1F4E79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2"/>
              </w:rPr>
              <w:t>Validated Value</w:t>
            </w:r>
          </w:p>
        </w:tc>
      </w:tr>
      <w:tr>
        <w:tc>
          <w:tcPr>
            <w:tcW w:type="dxa" w:w="388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&gt;100 TOPS/W energy efficiency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§1.3.3 PIM + §1.7 System Model</w:t>
            </w:r>
          </w:p>
        </w:tc>
        <w:tc>
          <w:tcPr>
            <w:tcW w:type="dxa" w:w="360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111.3 TOPS/W</w:t>
            </w:r>
          </w:p>
        </w:tc>
      </w:tr>
      <w:tr>
        <w:tc>
          <w:tcPr>
            <w:tcW w:type="dxa" w:w="388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&gt;10 TB/s on-die memory bandwidth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§1.4.1 SRAM bandwidth derivation</w:t>
            </w:r>
          </w:p>
        </w:tc>
        <w:tc>
          <w:tcPr>
            <w:tcW w:type="dxa" w:w="360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21 TB/s peak, &gt;10 TB/s sustained</w:t>
            </w:r>
          </w:p>
        </w:tc>
      </w:tr>
      <w:tr>
        <w:tc>
          <w:tcPr>
            <w:tcW w:type="dxa" w:w="388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2–5× LLM inference latency improvement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§1.5.2 Attention latency model</w:t>
            </w:r>
          </w:p>
        </w:tc>
        <w:tc>
          <w:tcPr>
            <w:tcW w:type="dxa" w:w="360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3.4× for 32-layer transformer</w:t>
            </w:r>
          </w:p>
        </w:tc>
      </w:tr>
      <w:tr>
        <w:tc>
          <w:tcPr>
            <w:tcW w:type="dxa" w:w="388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95% external DRAM traffic elimination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§1.4.3 3-tier hit rate model</w:t>
            </w:r>
          </w:p>
        </w:tc>
        <w:tc>
          <w:tcPr>
            <w:tcW w:type="dxa" w:w="360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99.6% reduction (h_total = 99.78%)</w:t>
            </w:r>
          </w:p>
        </w:tc>
      </w:tr>
      <w:tr>
        <w:tc>
          <w:tcPr>
            <w:tcW w:type="dxa" w:w="388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40–60% energy in data movement (Conv.)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§1.1.1 Energy per bit model</w:t>
            </w:r>
          </w:p>
        </w:tc>
        <w:tc>
          <w:tcPr>
            <w:tcW w:type="dxa" w:w="360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60% at 400× energy ratio R</w:t>
            </w:r>
          </w:p>
        </w:tc>
      </w:tr>
      <w:tr>
        <w:tc>
          <w:tcPr>
            <w:tcW w:type="dxa" w:w="388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TSV signal integrity feasible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§1.6.1–1.6.3 TSV RC model</w:t>
            </w:r>
          </w:p>
        </w:tc>
        <w:tc>
          <w:tcPr>
            <w:tcW w:type="dxa" w:w="360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RC delay = 1.38 fs (&lt;&lt; 250 ps clock period)</w:t>
            </w:r>
          </w:p>
        </w:tc>
      </w:tr>
      <w:tr>
        <w:tc>
          <w:tcPr>
            <w:tcW w:type="dxa" w:w="3888"/>
            <w:vAlign w:val="center"/>
            <w:shd w:val="clear" w:color="auto" w:fill="F2F2F2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Thermal feasibility at 300W</w:t>
            </w:r>
          </w:p>
        </w:tc>
        <w:tc>
          <w:tcPr>
            <w:tcW w:type="dxa" w:w="1728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§1.6.4 Thermal network model</w:t>
            </w:r>
          </w:p>
        </w:tc>
        <w:tc>
          <w:tcPr>
            <w:tcW w:type="dxa" w:w="3600"/>
            <w:vAlign w:val="center"/>
            <w:shd w:val="clear" w:color="auto" w:fill="F2F2F2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T_j = 92.5°C &lt; 105°C JEDEC limit</w:t>
            </w:r>
          </w:p>
        </w:tc>
      </w:tr>
      <w:tr>
        <w:tc>
          <w:tcPr>
            <w:tcW w:type="dxa" w:w="3888"/>
            <w:vAlign w:val="center"/>
            <w:shd w:val="clear" w:color="auto" w:fill="FFFFFF"/>
          </w:tcPr>
          <w:p>
            <w:pPr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PIM analog &gt;100 TOPS/W at crossbar</w:t>
            </w:r>
          </w:p>
        </w:tc>
        <w:tc>
          <w:tcPr>
            <w:tcW w:type="dxa" w:w="1728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✓ VALIDATED</w:t>
            </w:r>
          </w:p>
        </w:tc>
        <w:tc>
          <w:tcPr>
            <w:tcW w:type="dxa" w:w="3312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§1.3.3 RRAM energy derivation</w:t>
            </w:r>
          </w:p>
        </w:tc>
        <w:tc>
          <w:tcPr>
            <w:tcW w:type="dxa" w:w="3600"/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146 TOPS/W (with ADC/DAC), 729 TOPS/W at crossbar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32"/>
        </w:rPr>
        <w:t>CONCLUSION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This document has presented a rigorous mathematical validation framework covering eight independent physical models — from quantum-mechanical conductance in RRAM cells to system-level energy budgets and 3D thermal networks — each confirming the feasibility of the HyperFusion chip's claimed performance targets. All eight primary claims from the policy brief have been validated through first-principles derivation. The comprehensive chip design specification in Part II translates these mathematical results into a concrete 4-layer 3D-bonded architecture with layer-by-layer circuit specifications, area budgets, power delivery design, clock network, packaging details, and a phased implementation roadmap from 28nm prototype through 3nm mass production.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4"/>
        </w:rPr>
        <w:t>The HyperFusion chip represents a mathematically sound and architecturally coherent approach to breaking the Von Neumann bottleneck. Its principal advantage — achieving &gt;100 TOPS/W through the elimination of off-chip data movement combined with analog in-memory computation — is not merely aspirational; the numbers derived herein confirm it is a direct, predictable consequence of well-established semiconductor physics. India's pursuit of this architectural paradigm within the 2026–2033 window, anchored in the Centre for HyperFusion Research (CHR), represents both a technically validated strategy and a compelling path to digital sovereignty in the AI era.</w:t>
      </w:r>
    </w:p>
    <w:p>
      <w:pPr>
        <w:spacing w:before="280" w:after="8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REFERENCES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[1]  Dafoe, A. &amp; Hughes, B. (2024). The geopolitics of AI chips will define the future of AI. JSTOR.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[2]  Kim, B.H. (2024). Comparative analysis for two alliances' sustainability of AI chip industry. JNES, 36(2), 89.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[3]  Choi, H. (2024). Export controls and endogenous upstream price incidence. Econometric Society.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[4]  IEEE. (2025). Advanced packaging road map to 2030. IEEE Xplore.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[5]  Aguirre, T. (2024). On labs and fabs: Mapping alliances, acquisitions, and antitrust. arXiv:2406.01722.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[6]  IEEE ISSCC. (2025). AI revolution driven by memory technology innovation. IEEE Xplore.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[7]  Wulf, W.A. &amp; McKee, S.A. (1995). Hitting the Memory Wall. ACM Computer Architecture News, 23(1), 20–24.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[8]  Williams, S., Waterman, A. &amp; Patterson, D. (2009). Roofline: An Insightful Visual Performance Model. CACM, 52(4).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[9]  Ielmini, D. &amp; Wong, H.P. (2018). In-memory computing with resistive switching devices. Nature Electronics, 1, 333–343.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[10] Mittal, S. (2019). A survey of ReRAM-based architectures for processing-in-memory. ACM Computing Surveys.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[11] Dao, T. et al. (2022). FlashAttention: Fast and memory-efficient exact attention with IO-awareness. NeurIPS.</w:t>
      </w:r>
    </w:p>
    <w:p>
      <w:pPr>
        <w:spacing w:after="80" w:before="40"/>
        <w:jc w:val="both"/>
      </w:pPr>
      <w:r>
        <w:rPr>
          <w:rFonts w:ascii="Times New Roman" w:hAnsi="Times New Roman"/>
          <w:b w:val="0"/>
          <w:i w:val="0"/>
          <w:color w:val="000000"/>
          <w:sz w:val="22"/>
        </w:rPr>
        <w:t>[12] Coughlin, T. &amp; Handy, J. (2024). Emerging memory trends and applications. IEEE TMRC.</w:t>
      </w:r>
    </w:p>
    <w:sectPr w:rsidR="00FC693F" w:rsidRPr="0006063C" w:rsidSect="00034616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1" w:color="AAAAAA"/>
      </w:pBdr>
    </w:pPr>
    <w:r>
      <w:rPr>
        <w:rFonts w:ascii="Times New Roman" w:hAnsi="Times New Roman"/>
        <w:b/>
        <w:color w:val="646464"/>
        <w:sz w:val="15"/>
      </w:rPr>
      <w:t>© 2026 Atantra Das Gupta  ·  AIM HyperFusion Technology  ·  All Rights Reserved  ·  PROPRIETARY &amp; CONFIDENTIAL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rPr>
        <w:noProof/>
      </w:rPr>
      <w:pict>
        <v:shape id="WaterMark" o:spid="_x0000_s2049" type="#_x0000_t136" style="position:absolute;margin-left:0;margin-top:0;                       width:462pt;height:116pt;z-index:-251654144;                       mso-position-horizontal:center;                       mso-position-horizontal-relative:margin;                       mso-position-vertical:center;                       mso-position-vertical-relative:margin" fillcolor="#c8c8c8" stroked="f">
          <v:fill on="t" type="solid"/>
          <v:textpath on="t" string="© Atantra Das Gupta  ·  PROPRIETARY" style="font-family:&quot;Arial&quot;;font-size:1pt;font-weight:bold" trim="t"/>
          <v:imagedata o:title=""/>
          <w10:wrap type="none"/>
          <w10:anchorlock/>
        </v:shape>
      </w:pict>
    </w:r>
  </w:p>
  <w:p>
    <w:pPr>
      <w:jc w:val="center"/>
    </w:pPr>
    <w:r>
      <w:rPr>
        <w:rFonts w:ascii="Times New Roman" w:hAnsi="Times New Roman"/>
        <w:b/>
        <w:color w:val="969696"/>
        <w:sz w:val="15"/>
      </w:rPr>
      <w:t>PROPRIETARY  ·  © 2026 Atantra Das Gupta  ·  AIM HyperFusion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AIM HyperFusion Technology — Proprietary Document</dc:subject>
  <dc:creator>Atantra Das Gupta</dc:creator>
  <cp:keywords>Proprietary; Confidential; Atantra Das Gupta; AIM; HyperFusion; RRAM; PIM</cp:keywords>
  <dc:description>This document is the exclusive intellectual property of Atantra Das Gupta. Unauthorized reproduction, distribution or modification is strictly prohibited. © 2026 AIM HyperFusion Technology.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